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Arial" w:cs="Arial" w:eastAsia="Arial" w:hAnsi="Arial"/>
          <w:b/>
          <w:bCs/>
          <w:color w:val="1F4E79"/>
          <w:sz w:val="36"/>
          <w:szCs w:val="36"/>
        </w:rPr>
        <w:t xml:space="preserve">Preguntas para el Consejero Profesional Escolar</w:t>
      </w:r>
    </w:p>
    <w:p>
      <w:pPr>
        <w:spacing w:after="80"/>
        <w:jc w:val="center"/>
      </w:pPr>
      <w:r>
        <w:rPr>
          <w:rFonts w:ascii="Arial" w:cs="Arial" w:eastAsia="Arial" w:hAnsi="Arial"/>
          <w:i/>
          <w:iCs/>
          <w:color w:val="444444"/>
          <w:sz w:val="22"/>
          <w:szCs w:val="22"/>
        </w:rPr>
        <w:t xml:space="preserve">Documentos Oficiales del Departamento de Educación de Puerto Rico (DEPR)</w:t>
      </w:r>
    </w:p>
    <w:p>
      <w:pPr>
        <w:pBdr>
          <w:bottom w:val="single" w:color="1F4E79" w:sz="6" w:space="1"/>
        </w:pBdr>
        <w:spacing w:after="400"/>
        <w:jc w:val="center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38 preguntas organizadas en 12 temas | Taller Consejería PCPEE 2026</w:t>
      </w:r>
    </w:p>
    <w:p>
      <w:pPr>
        <w:pBdr>
          <w:bottom w:val="single" w:color="1F4E79" w:sz="4" w:space="1"/>
        </w:pBdr>
        <w:spacing w:after="160" w:before="320"/>
      </w:pPr>
      <w:r>
        <w:rPr>
          <w:rFonts w:ascii="Arial" w:cs="Arial" w:eastAsia="Arial" w:hAnsi="Arial"/>
          <w:b/>
          <w:bCs/>
          <w:color w:val="1F4E79"/>
          <w:sz w:val="26"/>
          <w:szCs w:val="26"/>
        </w:rPr>
        <w:t xml:space="preserve">1. Formularios Programáticos PCPEE (P01–P12)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1F4E79"/>
          <w:sz w:val="22"/>
          <w:szCs w:val="22"/>
        </w:rPr>
        <w:t xml:space="preserve">1.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¿Qué formulario debo completar para documentar la primera entrevista con un estudiante referido al programa PCPEE?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1F4E79"/>
          <w:sz w:val="22"/>
          <w:szCs w:val="22"/>
        </w:rPr>
        <w:t xml:space="preserve">2.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Tengo un estudiante nuevo que necesita servicios de consejería, ¿qué consentimiento informado debo obtener del menor antes de comenzar?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1F4E79"/>
          <w:sz w:val="22"/>
          <w:szCs w:val="22"/>
        </w:rPr>
        <w:t xml:space="preserve">3.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¿Cuál es el formulario correcto para elaborar un Plan de Intervención para un estudiante con necesidades académicas, y hay uno diferente para necesidades socioemocionales u ocupacionales?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1F4E79"/>
          <w:sz w:val="22"/>
          <w:szCs w:val="22"/>
        </w:rPr>
        <w:t xml:space="preserve">4.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¿Qué documento uso para registrar la discusión de un caso con otros profesionales y levantar la minuta de esa reunión?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1F4E79"/>
          <w:sz w:val="22"/>
          <w:szCs w:val="22"/>
        </w:rPr>
        <w:t xml:space="preserve">5.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Necesito hacer un referido a una agencia externa, ¿qué formulario del PCPEE debo usar y qué información requiere?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1F4E79"/>
          <w:sz w:val="22"/>
          <w:szCs w:val="22"/>
        </w:rPr>
        <w:t xml:space="preserve">6.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¿Cómo notifico formalmente a los padres sobre los servicios que su hijo está recibiendo, y qué formulario registro su asistencia a las sesiones grupales?</w:t>
      </w:r>
    </w:p>
    <w:p>
      <w:pPr>
        <w:pBdr>
          <w:bottom w:val="single" w:color="1F4E79" w:sz="4" w:space="1"/>
        </w:pBdr>
        <w:spacing w:after="160" w:before="320"/>
      </w:pPr>
      <w:r>
        <w:rPr>
          <w:rFonts w:ascii="Arial" w:cs="Arial" w:eastAsia="Arial" w:hAnsi="Arial"/>
          <w:b/>
          <w:bCs/>
          <w:color w:val="1F4E79"/>
          <w:sz w:val="26"/>
          <w:szCs w:val="26"/>
        </w:rPr>
        <w:t xml:space="preserve">2. Documentos Administrativos PCPEE (A01–A09)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1F4E79"/>
          <w:sz w:val="22"/>
          <w:szCs w:val="22"/>
        </w:rPr>
        <w:t xml:space="preserve">7.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¿Cómo planifico mi trabajo anual como Consejero Profesional Escolar y qué documento del PCPEE guía ese proceso?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1F4E79"/>
          <w:sz w:val="22"/>
          <w:szCs w:val="22"/>
        </w:rPr>
        <w:t xml:space="preserve">8.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Necesito identificar las necesidades de mis estudiantes de escuela elemental, ¿hay estudios de necesidades diferenciados por nivel escolar?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1F4E79"/>
          <w:sz w:val="22"/>
          <w:szCs w:val="22"/>
        </w:rPr>
        <w:t xml:space="preserve">9.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¿Qué cuestionario utilizo para recopilar la perspectiva de los maestros sobre las necesidades de los estudiantes?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1F4E79"/>
          <w:sz w:val="22"/>
          <w:szCs w:val="22"/>
        </w:rPr>
        <w:t xml:space="preserve">10.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¿Existe un cuestionario similar para padres, madres o encargados dentro del programa PCPEE?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1F4E79"/>
          <w:sz w:val="22"/>
          <w:szCs w:val="22"/>
        </w:rPr>
        <w:t xml:space="preserve">11.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¿Cómo completo la guía de monitoría operacional del programa y con qué frecuencia debo usarla?</w:t>
      </w:r>
    </w:p>
    <w:p>
      <w:pPr>
        <w:pBdr>
          <w:bottom w:val="single" w:color="C00000" w:sz="4" w:space="1"/>
        </w:pBdr>
        <w:spacing w:after="160" w:before="320"/>
      </w:pPr>
      <w:r>
        <w:rPr>
          <w:rFonts w:ascii="Arial" w:cs="Arial" w:eastAsia="Arial" w:hAnsi="Arial"/>
          <w:b/>
          <w:bCs/>
          <w:color w:val="C00000"/>
          <w:sz w:val="26"/>
          <w:szCs w:val="26"/>
        </w:rPr>
        <w:t xml:space="preserve">3. Crisis y Protocolos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C00000"/>
          <w:sz w:val="22"/>
          <w:szCs w:val="22"/>
        </w:rPr>
        <w:t xml:space="preserve">12.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¿Cuáles son los pasos del protocolo que debo seguir si ocurre una situación de crisis en mi escuela?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C00000"/>
          <w:sz w:val="22"/>
          <w:szCs w:val="22"/>
        </w:rPr>
        <w:t xml:space="preserve">13.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Un estudiante expresa ideación suicida durante una sesión, ¿qué pasos específicos indica el Manual de Protocolos de Crisis 2025?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C00000"/>
          <w:sz w:val="22"/>
          <w:szCs w:val="22"/>
        </w:rPr>
        <w:t xml:space="preserve">14.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¿Existe una guía rápida de referencia para el manejo de crisis que pueda tener a la mano sin leer el manual completo?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C00000"/>
          <w:sz w:val="22"/>
          <w:szCs w:val="22"/>
        </w:rPr>
        <w:t xml:space="preserve">15.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¿Qué roles tienen el director, el consejero y el maestro respectivamente durante una crisis escolar según el protocolo del DEPR?</w:t>
      </w:r>
    </w:p>
    <w:p>
      <w:pPr>
        <w:pBdr>
          <w:bottom w:val="single" w:color="375623" w:sz="4" w:space="1"/>
        </w:pBdr>
        <w:spacing w:after="160" w:before="320"/>
      </w:pPr>
      <w:r>
        <w:rPr>
          <w:rFonts w:ascii="Arial" w:cs="Arial" w:eastAsia="Arial" w:hAnsi="Arial"/>
          <w:b/>
          <w:bCs/>
          <w:color w:val="375623"/>
          <w:sz w:val="26"/>
          <w:szCs w:val="26"/>
        </w:rPr>
        <w:t xml:space="preserve">4. Cartas Circulares y Guía Práctica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375623"/>
          <w:sz w:val="22"/>
          <w:szCs w:val="22"/>
        </w:rPr>
        <w:t xml:space="preserve">16.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¿Qué establece la Carta Circular 07-2020-2021 sobre los servicios de consejería escolar en Puerto Rico?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375623"/>
          <w:sz w:val="22"/>
          <w:szCs w:val="22"/>
        </w:rPr>
        <w:t xml:space="preserve">17.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¿Qué normativa regula el programa PCPEE y dónde puedo encontrar los requisitos legales y profesionales que debo cumplir?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375623"/>
          <w:sz w:val="22"/>
          <w:szCs w:val="22"/>
        </w:rPr>
        <w:t xml:space="preserve">18.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¿Qué dice la Guía Práctica del PCPEE 2024 sobre cómo documentar y reportar los servicios del consejero?</w:t>
      </w:r>
    </w:p>
    <w:p>
      <w:pPr>
        <w:pBdr>
          <w:bottom w:val="single" w:color="7030A0" w:sz="4" w:space="1"/>
        </w:pBdr>
        <w:spacing w:after="160" w:before="320"/>
      </w:pPr>
      <w:r>
        <w:rPr>
          <w:rFonts w:ascii="Arial" w:cs="Arial" w:eastAsia="Arial" w:hAnsi="Arial"/>
          <w:b/>
          <w:bCs/>
          <w:color w:val="7030A0"/>
          <w:sz w:val="26"/>
          <w:szCs w:val="26"/>
        </w:rPr>
        <w:t xml:space="preserve">5. Familias y Manuales de Competencias por Grado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7030A0"/>
          <w:sz w:val="22"/>
          <w:szCs w:val="22"/>
        </w:rPr>
        <w:t xml:space="preserve">19.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¿Qué material puedo compartir con una familia que tiene un niño en Pre-Kínder para apoyar su desarrollo en el hogar?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7030A0"/>
          <w:sz w:val="22"/>
          <w:szCs w:val="22"/>
        </w:rPr>
        <w:t xml:space="preserve">20.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Los padres de un estudiante de 3er grado quieren saber qué competencias debe tener su hijo, ¿existe un manual específico para ese nivel?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7030A0"/>
          <w:sz w:val="22"/>
          <w:szCs w:val="22"/>
        </w:rPr>
        <w:t xml:space="preserve">21.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¿Hay recursos del DEPR para familias con bebés o niños menores de 3 años, o los manuales comienzan en preescolar?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7030A0"/>
          <w:sz w:val="22"/>
          <w:szCs w:val="22"/>
        </w:rPr>
        <w:t xml:space="preserve">22.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¿Cómo presento los manuales de competencias esenciales a los padres durante una reunión de orientación familiar?</w:t>
      </w:r>
    </w:p>
    <w:p>
      <w:pPr>
        <w:pBdr>
          <w:bottom w:val="single" w:color="843C0C" w:sz="4" w:space="1"/>
        </w:pBdr>
        <w:spacing w:after="160" w:before="320"/>
      </w:pPr>
      <w:r>
        <w:rPr>
          <w:rFonts w:ascii="Arial" w:cs="Arial" w:eastAsia="Arial" w:hAnsi="Arial"/>
          <w:b/>
          <w:bCs/>
          <w:color w:val="843C0C"/>
          <w:sz w:val="26"/>
          <w:szCs w:val="26"/>
        </w:rPr>
        <w:t xml:space="preserve">6. Orientación Vocacional y ASVAB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843C0C"/>
          <w:sz w:val="22"/>
          <w:szCs w:val="22"/>
        </w:rPr>
        <w:t xml:space="preserve">23.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¿Cómo puedo ayudar a un estudiante de nivel superior a tomar decisiones informadas sobre su futuro profesional usando los materiales del DEPR?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843C0C"/>
          <w:sz w:val="22"/>
          <w:szCs w:val="22"/>
        </w:rPr>
        <w:t xml:space="preserve">24.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Un estudiante quiere tomar el ASVAB, ¿qué consentimiento informado necesito obtener y quién debe firmarlo?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843C0C"/>
          <w:sz w:val="22"/>
          <w:szCs w:val="22"/>
        </w:rPr>
        <w:t xml:space="preserve">25.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¿Qué son las cápsulas informativas de Decisiones para un Futuro Profesional Informado y cómo las puedo usar en sesiones grupales?</w:t>
      </w:r>
    </w:p>
    <w:p>
      <w:pPr>
        <w:pBdr>
          <w:bottom w:val="single" w:color="0070C0" w:sz="4" w:space="1"/>
        </w:pBdr>
        <w:spacing w:after="160" w:before="320"/>
      </w:pPr>
      <w:r>
        <w:rPr>
          <w:rFonts w:ascii="Arial" w:cs="Arial" w:eastAsia="Arial" w:hAnsi="Arial"/>
          <w:b/>
          <w:bCs/>
          <w:color w:val="0070C0"/>
          <w:sz w:val="26"/>
          <w:szCs w:val="26"/>
        </w:rPr>
        <w:t xml:space="preserve">7. Tecnología, IA y Plataforma SANKOFA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0070C0"/>
          <w:sz w:val="22"/>
          <w:szCs w:val="22"/>
        </w:rPr>
        <w:t xml:space="preserve">26.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¿Qué dice el DEPR sobre el uso de inteligencia artificial en el sistema educativo y cómo aplica a mi trabajo como consejero?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0070C0"/>
          <w:sz w:val="22"/>
          <w:szCs w:val="22"/>
        </w:rPr>
        <w:t xml:space="preserve">27.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¿Qué es la plataforma SANKOFA del DEPR y cómo puede apoyar mi gestión como consejero profesional escolar?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0070C0"/>
          <w:sz w:val="22"/>
          <w:szCs w:val="22"/>
        </w:rPr>
        <w:t xml:space="preserve">28.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¿Existen guías o políticas institucionales del DEPR sobre el uso ético y responsable de herramientas de IA con estudiantes?</w:t>
      </w:r>
    </w:p>
    <w:p>
      <w:pPr>
        <w:pBdr>
          <w:bottom w:val="single" w:color="1F4E79" w:sz="4" w:space="1"/>
        </w:pBdr>
        <w:spacing w:after="160" w:before="320"/>
      </w:pPr>
      <w:r>
        <w:rPr>
          <w:rFonts w:ascii="Arial" w:cs="Arial" w:eastAsia="Arial" w:hAnsi="Arial"/>
          <w:b/>
          <w:bCs/>
          <w:color w:val="1F4E79"/>
          <w:sz w:val="26"/>
          <w:szCs w:val="26"/>
        </w:rPr>
        <w:t xml:space="preserve">8. Educación Especial y Lenguaje de Señas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1F4E79"/>
          <w:sz w:val="22"/>
          <w:szCs w:val="22"/>
        </w:rPr>
        <w:t xml:space="preserve">29.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Tengo un estudiante con impedimento auditivo, ¿qué dice la guía del DEPR sobre cómo proveer servicios en lenguaje de señas?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1F4E79"/>
          <w:sz w:val="22"/>
          <w:szCs w:val="22"/>
        </w:rPr>
        <w:t xml:space="preserve">30.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¿Cuáles son los requisitos y procedimientos para garantizar acceso a intérpretes de lenguaje de señas según la guía oficial del DEPR?</w:t>
      </w:r>
    </w:p>
    <w:p>
      <w:pPr>
        <w:pBdr>
          <w:bottom w:val="single" w:color="375623" w:sz="4" w:space="1"/>
        </w:pBdr>
        <w:spacing w:after="160" w:before="320"/>
      </w:pPr>
      <w:r>
        <w:rPr>
          <w:rFonts w:ascii="Arial" w:cs="Arial" w:eastAsia="Arial" w:hAnsi="Arial"/>
          <w:b/>
          <w:bCs/>
          <w:color w:val="375623"/>
          <w:sz w:val="26"/>
          <w:szCs w:val="26"/>
        </w:rPr>
        <w:t xml:space="preserve">9. Organizaciones Estudiantiles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375623"/>
          <w:sz w:val="22"/>
          <w:szCs w:val="22"/>
        </w:rPr>
        <w:t xml:space="preserve">31.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Un grupo de estudiantes quiere establecer una organización estudiantil en la escuela, ¿qué dice el manual del DEPR sobre los requisitos para hacerlo?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375623"/>
          <w:sz w:val="22"/>
          <w:szCs w:val="22"/>
        </w:rPr>
        <w:t xml:space="preserve">32.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¿Cuál es el rol del consejero escolar en la supervisión y apoyo de las organizaciones estudiantiles según el manual oficial?</w:t>
      </w:r>
    </w:p>
    <w:p>
      <w:pPr>
        <w:pBdr>
          <w:bottom w:val="single" w:color="7030A0" w:sz="4" w:space="1"/>
        </w:pBdr>
        <w:spacing w:after="160" w:before="320"/>
      </w:pPr>
      <w:r>
        <w:rPr>
          <w:rFonts w:ascii="Arial" w:cs="Arial" w:eastAsia="Arial" w:hAnsi="Arial"/>
          <w:b/>
          <w:bCs/>
          <w:color w:val="7030A0"/>
          <w:sz w:val="26"/>
          <w:szCs w:val="26"/>
        </w:rPr>
        <w:t xml:space="preserve">10. Lectura y Desarrollo Socioemocional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7030A0"/>
          <w:sz w:val="22"/>
          <w:szCs w:val="22"/>
        </w:rPr>
        <w:t xml:space="preserve">33.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¿Cómo puedo apoyar la iniciativa Leer para Crecer desde mi rol como consejero y qué dice el manual sobre la lectura como prioridad educativa?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7030A0"/>
          <w:sz w:val="22"/>
          <w:szCs w:val="22"/>
        </w:rPr>
        <w:t xml:space="preserve">34.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¿Cómo puedo usar el material de Inside Out / Emociones para trabajar la inteligencia emocional con mis estudiantes en sesiones de grupo?</w:t>
      </w:r>
    </w:p>
    <w:p>
      <w:pPr>
        <w:pBdr>
          <w:bottom w:val="single" w:color="C00000" w:sz="4" w:space="1"/>
        </w:pBdr>
        <w:spacing w:after="160" w:before="320"/>
      </w:pPr>
      <w:r>
        <w:rPr>
          <w:rFonts w:ascii="Arial" w:cs="Arial" w:eastAsia="Arial" w:hAnsi="Arial"/>
          <w:b/>
          <w:bCs/>
          <w:color w:val="C00000"/>
          <w:sz w:val="26"/>
          <w:szCs w:val="26"/>
        </w:rPr>
        <w:t xml:space="preserve">11. Consentimientos Informados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C00000"/>
          <w:sz w:val="22"/>
          <w:szCs w:val="22"/>
        </w:rPr>
        <w:t xml:space="preserve">35.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¿Cuándo debo usar el consentimiento de servicios en línea versus el de servicios presenciales, y son documentos distintos?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C00000"/>
          <w:sz w:val="22"/>
          <w:szCs w:val="22"/>
        </w:rPr>
        <w:t xml:space="preserve">36.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¿Qué información debe incluir un consentimiento informado válido para menores según los documentos oficiales del DEPR?</w:t>
      </w:r>
    </w:p>
    <w:p>
      <w:pPr>
        <w:pBdr>
          <w:bottom w:val="single" w:color="843C0C" w:sz="4" w:space="1"/>
        </w:pBdr>
        <w:spacing w:after="160" w:before="320"/>
      </w:pPr>
      <w:r>
        <w:rPr>
          <w:rFonts w:ascii="Arial" w:cs="Arial" w:eastAsia="Arial" w:hAnsi="Arial"/>
          <w:b/>
          <w:bCs/>
          <w:color w:val="843C0C"/>
          <w:sz w:val="26"/>
          <w:szCs w:val="26"/>
        </w:rPr>
        <w:t xml:space="preserve">12. Formulario D-16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843C0C"/>
          <w:sz w:val="22"/>
          <w:szCs w:val="22"/>
        </w:rPr>
        <w:t xml:space="preserve">37.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¿Para qué sirve el Formulario D-16 del consejero y en qué situaciones debo completarlo?</w:t>
      </w:r>
    </w:p>
    <w:p>
      <w:pPr>
        <w:spacing w:after="120" w:before="120"/>
        <w:ind w:left="360" w:hanging="360"/>
      </w:pPr>
      <w:r>
        <w:rPr>
          <w:rFonts w:ascii="Arial" w:cs="Arial" w:eastAsia="Arial" w:hAnsi="Arial"/>
          <w:b/>
          <w:bCs/>
          <w:color w:val="843C0C"/>
          <w:sz w:val="22"/>
          <w:szCs w:val="22"/>
        </w:rPr>
        <w:t xml:space="preserve">38. </w:t>
      </w:r>
      <w:r>
        <w:rPr>
          <w:rFonts w:ascii="Arial" w:cs="Arial" w:eastAsia="Arial" w:hAnsi="Arial"/>
          <w:color w:val="222222"/>
          <w:sz w:val="22"/>
          <w:szCs w:val="22"/>
        </w:rPr>
        <w:t xml:space="preserve">¿Qué datos específicos requiere el Formulario D-16 y cómo se relaciona con el expediente del estudiante?</w:t>
      </w:r>
    </w:p>
    <w:p>
      <w:pPr>
        <w:pBdr>
          <w:top w:val="single" w:color="CCCCCC" w:sz="4" w:space="1"/>
        </w:pBdr>
        <w:spacing w:before="480"/>
        <w:jc w:val="center"/>
      </w:pPr>
      <w:r>
        <w:rPr>
          <w:rFonts w:ascii="Arial" w:cs="Arial" w:eastAsia="Arial" w:hAnsi="Arial"/>
          <w:i/>
          <w:iCs/>
          <w:color w:val="888888"/>
          <w:sz w:val="16"/>
          <w:szCs w:val="16"/>
        </w:rPr>
        <w:t xml:space="preserve">Generado el 25 de abril de 2026 | Programa de Consejería Profesional Escolar (PCPEE)</w:t>
      </w:r>
    </w:p>
    <w:sectPr>
      <w:headerReference w:type="default" r:id="rId7"/>
      <w:footerReference w:type="default" r:id="rId8"/>
      <w:pgSz w:w="12240" w:h="15840" w:orient="portrait"/>
      <w:pgMar w:top="1440" w:right="1296" w:bottom="1440" w:left="1296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888888"/>
        <w:sz w:val="16"/>
        <w:szCs w:val="16"/>
      </w:rPr>
      <w:t xml:space="preserve">Página </w:t>
    </w:r>
    <w:r>
      <w:rPr>
        <w:rFonts w:ascii="Arial" w:cs="Arial" w:eastAsia="Arial" w:hAnsi="Arial"/>
        <w:color w:val="888888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rFonts w:ascii="Arial" w:cs="Arial" w:eastAsia="Arial" w:hAnsi="Arial"/>
        <w:color w:val="888888"/>
        <w:sz w:val="16"/>
        <w:szCs w:val="16"/>
      </w:rPr>
      <w:t xml:space="preserve"> de </w:t>
    </w:r>
    <w:r>
      <w:rPr>
        <w:rFonts w:ascii="Arial" w:cs="Arial" w:eastAsia="Arial" w:hAnsi="Arial"/>
        <w:color w:val="888888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1F4E79" w:sz="4" w:space="1"/>
      </w:pBdr>
      <w:jc w:val="right"/>
    </w:pPr>
    <w:r>
      <w:rPr>
        <w:rFonts w:ascii="Arial" w:cs="Arial" w:eastAsia="Arial" w:hAnsi="Arial"/>
        <w:i/>
        <w:iCs/>
        <w:color w:val="1F4E79"/>
        <w:sz w:val="16"/>
        <w:szCs w:val="16"/>
      </w:rPr>
      <w:t xml:space="preserve">Consejería PCPEE — Documentos Oficiales DEPR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2026-04-26T02:00:46.478Z</dcterms:created>
  <dcterms:modified xsi:type="dcterms:W3CDTF">2026-04-26T02:00:46.478Z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